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2310F">
      <w:pPr>
        <w:jc w:val="center"/>
        <w:rPr>
          <w:rFonts w:hint="eastAsia"/>
        </w:rPr>
      </w:pPr>
      <w:r>
        <w:rPr>
          <w:rFonts w:hint="eastAsia"/>
          <w:b/>
          <w:bCs/>
          <w:sz w:val="30"/>
          <w:szCs w:val="30"/>
        </w:rPr>
        <w:t>GSP冷库介绍</w:t>
      </w:r>
    </w:p>
    <w:p w14:paraId="06345E17">
      <w:r>
        <w:rPr>
          <w:rFonts w:hint="default"/>
        </w:rPr>
        <w:t>GSP冷库是依据《药品经营质量管理规范》（Good Supply Practice）建设的专用医药冷链设施，核心功能是为药品、疫苗、生物制剂等温敏产品提供符合法规标准的温控储存环境，确保其在流通环节中质量稳定、安全可追溯</w:t>
      </w:r>
      <w:r>
        <w:rPr>
          <w:rFonts w:hint="default"/>
        </w:rPr>
        <w:t>‌。这类冷库广泛应用于药品批发企业、连锁药店总部、医院药库、疾控中心及第三方医药物流企业，是保障公众用药安全的关键基础设施。</w:t>
      </w:r>
    </w:p>
    <w:p w14:paraId="5FBF6D13">
      <w:pPr>
        <w:rPr>
          <w:rFonts w:hint="default"/>
        </w:rPr>
      </w:pPr>
      <w:r>
        <w:rPr>
          <w:rFonts w:hint="default"/>
        </w:rPr>
        <w:t>一、温控标准与分类要求</w:t>
      </w:r>
    </w:p>
    <w:p w14:paraId="6AB41AF9">
      <w:pPr>
        <w:rPr>
          <w:rFonts w:hint="default"/>
        </w:rPr>
      </w:pPr>
      <w:r>
        <w:rPr>
          <w:rFonts w:hint="default"/>
        </w:rPr>
        <w:t>GSP冷库根据储存药品的特性，设定严格的温</w:t>
      </w:r>
      <w:bookmarkStart w:id="0" w:name="_GoBack"/>
      <w:bookmarkEnd w:id="0"/>
      <w:r>
        <w:rPr>
          <w:rFonts w:hint="default"/>
        </w:rPr>
        <w:t>度与湿度控制区间：</w:t>
      </w:r>
    </w:p>
    <w:p w14:paraId="3E6293E6">
      <w:r>
        <w:rPr>
          <w:rFonts w:hint="default"/>
        </w:rPr>
        <w:t>‌</w:t>
      </w:r>
      <w:r>
        <w:rPr>
          <w:rFonts w:hint="default"/>
        </w:rPr>
        <w:t>冷藏库：2℃～8℃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用于储存胰岛素、疫苗、血液制品、生物试剂等对温度高度敏感的药品，是GSP冷库中最常见的类型 。</w:t>
      </w:r>
    </w:p>
    <w:p w14:paraId="1AC1679A">
      <w:r>
        <w:rPr>
          <w:rFonts w:hint="default"/>
        </w:rPr>
        <w:t>‌</w:t>
      </w:r>
      <w:r>
        <w:rPr>
          <w:rFonts w:hint="default"/>
        </w:rPr>
        <w:t>冷冻库：-20℃以下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适用于需深冷保存的特殊药品和生物样本，如部分疫苗、组织标本等 。</w:t>
      </w:r>
    </w:p>
    <w:p w14:paraId="361A3A7D">
      <w:r>
        <w:rPr>
          <w:rFonts w:hint="default"/>
        </w:rPr>
        <w:t>‌</w:t>
      </w:r>
      <w:r>
        <w:rPr>
          <w:rFonts w:hint="default"/>
        </w:rPr>
        <w:t>阴凉库：≤20℃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存放对温度较敏感但无需冷藏的药品，如部分抗生素、中药制剂等 。</w:t>
      </w:r>
    </w:p>
    <w:p w14:paraId="585F0027">
      <w:r>
        <w:rPr>
          <w:rFonts w:hint="default"/>
        </w:rPr>
        <w:t>‌</w:t>
      </w:r>
      <w:r>
        <w:rPr>
          <w:rFonts w:hint="default"/>
        </w:rPr>
        <w:t>常温库：10℃～30℃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用于普通药品储存，但仍需控制湿度在35%～75%之间 。</w:t>
      </w:r>
    </w:p>
    <w:p w14:paraId="134324B1">
      <w:pPr>
        <w:rPr>
          <w:rFonts w:hint="default"/>
        </w:rPr>
      </w:pPr>
      <w:r>
        <w:rPr>
          <w:rFonts w:hint="default"/>
        </w:rPr>
        <w:t>所有库房‌</w:t>
      </w:r>
      <w:r>
        <w:rPr>
          <w:rFonts w:hint="default"/>
        </w:rPr>
        <w:t>相对湿度均应控制在35%～75%</w:t>
      </w:r>
      <w:r>
        <w:rPr>
          <w:rFonts w:hint="default"/>
        </w:rPr>
        <w:t>‌，防止药品吸潮变质或干裂失效 。</w:t>
      </w:r>
    </w:p>
    <w:p w14:paraId="22A3D9E7">
      <w:pPr>
        <w:rPr>
          <w:rFonts w:hint="default"/>
        </w:rPr>
      </w:pPr>
      <w:r>
        <w:rPr>
          <w:rFonts w:hint="default"/>
        </w:rPr>
        <w:t>二、系统配置与硬件合规要求</w:t>
      </w:r>
    </w:p>
    <w:p w14:paraId="1FB19527">
      <w:pPr>
        <w:rPr>
          <w:rFonts w:hint="default"/>
        </w:rPr>
      </w:pPr>
      <w:r>
        <w:rPr>
          <w:rFonts w:hint="default"/>
        </w:rPr>
        <w:t>GSP冷库不仅是一个低温空间，更是一套集智能监控、应急保障与数据追溯于一体的合规化系统工程：</w:t>
      </w:r>
    </w:p>
    <w:p w14:paraId="0995D863">
      <w:r>
        <w:rPr>
          <w:rFonts w:hint="default"/>
        </w:rPr>
        <w:t>‌</w:t>
      </w:r>
      <w:r>
        <w:rPr>
          <w:rFonts w:hint="default"/>
        </w:rPr>
        <w:t>温湿度自动监测系统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配备24小时连续监测设备，‌</w:t>
      </w:r>
      <w:r>
        <w:rPr>
          <w:rFonts w:hint="default"/>
        </w:rPr>
        <w:t>每5秒更新一次测点数据，每30分钟自动记录一次实际数值</w:t>
      </w:r>
      <w:r>
        <w:rPr>
          <w:rFonts w:hint="default"/>
        </w:rPr>
        <w:t>‌，支持远程查看、异常报警和数据导出 。</w:t>
      </w:r>
    </w:p>
    <w:p w14:paraId="14E5B0B1">
      <w:r>
        <w:rPr>
          <w:rFonts w:hint="default"/>
        </w:rPr>
        <w:t>‌</w:t>
      </w:r>
      <w:r>
        <w:rPr>
          <w:rFonts w:hint="default"/>
        </w:rPr>
        <w:t>双路供电或备用发电机组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防止因市电中断导致制冷失效，保障冷库持续运行 。</w:t>
      </w:r>
    </w:p>
    <w:p w14:paraId="0A62A021">
      <w:r>
        <w:rPr>
          <w:rFonts w:hint="default"/>
        </w:rPr>
        <w:t>‌</w:t>
      </w:r>
      <w:r>
        <w:rPr>
          <w:rFonts w:hint="default"/>
        </w:rPr>
        <w:t>独立冷库配置（疫苗专用）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储存疫苗的企业必须配备‌</w:t>
      </w:r>
      <w:r>
        <w:rPr>
          <w:rFonts w:hint="default"/>
        </w:rPr>
        <w:t>两个以上独立冷库</w:t>
      </w:r>
      <w:r>
        <w:rPr>
          <w:rFonts w:hint="default"/>
        </w:rPr>
        <w:t>‌，避免交叉影响 。</w:t>
      </w:r>
    </w:p>
    <w:p w14:paraId="06351700">
      <w:r>
        <w:rPr>
          <w:rFonts w:hint="default"/>
        </w:rPr>
        <w:t>‌</w:t>
      </w:r>
      <w:r>
        <w:rPr>
          <w:rFonts w:hint="default"/>
        </w:rPr>
        <w:t>库体结构与隔离措施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药品与地面之间有效隔离（离地≥10cm），配备避光、通风、防虫、防鼠等设施 。</w:t>
      </w:r>
    </w:p>
    <w:p w14:paraId="697ED2FE">
      <w:r>
        <w:rPr>
          <w:rFonts w:hint="default"/>
        </w:rPr>
        <w:t>‌</w:t>
      </w:r>
      <w:r>
        <w:rPr>
          <w:rFonts w:hint="default"/>
        </w:rPr>
        <w:t>分区管理机制</w:t>
      </w:r>
      <w:r>
        <w:rPr>
          <w:rFonts w:hint="default"/>
        </w:rPr>
        <w:t>‌</w:t>
      </w:r>
      <w:r>
        <w:rPr>
          <w:rFonts w:hint="default"/>
        </w:rPr>
        <w:br w:type="textWrapping"/>
      </w:r>
      <w:r>
        <w:rPr>
          <w:rFonts w:hint="default"/>
        </w:rPr>
        <w:t>设立待验区、合格品区、退货区、不合格品区，实行色标管理与先进先出（FIFO）原则 。</w:t>
      </w:r>
    </w:p>
    <w:p w14:paraId="524E8092">
      <w:pPr>
        <w:rPr>
          <w:rFonts w:hint="default"/>
        </w:rPr>
      </w:pPr>
      <w:r>
        <w:rPr>
          <w:rFonts w:hint="default"/>
        </w:rPr>
        <w:t>三、验证管理与持续合规</w:t>
      </w:r>
    </w:p>
    <w:p w14:paraId="42C6CD0C">
      <w:pPr>
        <w:rPr>
          <w:rFonts w:hint="default"/>
        </w:rPr>
      </w:pPr>
      <w:r>
        <w:rPr>
          <w:rFonts w:hint="default"/>
        </w:rPr>
        <w:t>GSP冷库必须通过‌</w:t>
      </w:r>
      <w:r>
        <w:rPr>
          <w:rFonts w:hint="default"/>
        </w:rPr>
        <w:t>定期验证</w:t>
      </w:r>
      <w:r>
        <w:rPr>
          <w:rFonts w:hint="default"/>
        </w:rPr>
        <w:t>‌，确保设施设备始终处于受控状态：</w:t>
      </w:r>
    </w:p>
    <w:p w14:paraId="4A8ED72A">
      <w:r>
        <w:rPr>
          <w:rFonts w:hint="default"/>
        </w:rPr>
        <w:t>‌</w:t>
      </w:r>
      <w:r>
        <w:rPr>
          <w:rFonts w:hint="default"/>
        </w:rPr>
        <w:t>验证频率</w:t>
      </w:r>
      <w:r>
        <w:rPr>
          <w:rFonts w:hint="default"/>
        </w:rPr>
        <w:t>‌：‌</w:t>
      </w:r>
      <w:r>
        <w:rPr>
          <w:rFonts w:hint="default"/>
        </w:rPr>
        <w:t>每年至少一次定期验证</w:t>
      </w:r>
      <w:r>
        <w:rPr>
          <w:rFonts w:hint="default"/>
        </w:rPr>
        <w:t>‌，间隔不超过1年 。</w:t>
      </w:r>
    </w:p>
    <w:p w14:paraId="0A5CEA14">
      <w:r>
        <w:rPr>
          <w:rFonts w:hint="default"/>
        </w:rPr>
        <w:t>‌</w:t>
      </w:r>
      <w:r>
        <w:rPr>
          <w:rFonts w:hint="default"/>
        </w:rPr>
        <w:t>验证类型</w:t>
      </w:r>
      <w:r>
        <w:rPr>
          <w:rFonts w:hint="default"/>
        </w:rPr>
        <w:t>‌包括使用前验证、定期验证及停用超时限后的重新验证 。</w:t>
      </w:r>
    </w:p>
    <w:p w14:paraId="681D071D">
      <w:r>
        <w:rPr>
          <w:rFonts w:hint="default"/>
        </w:rPr>
        <w:t>‌</w:t>
      </w:r>
      <w:r>
        <w:rPr>
          <w:rFonts w:hint="default"/>
        </w:rPr>
        <w:t>核心验证项目</w:t>
      </w:r>
      <w:r>
        <w:rPr>
          <w:rFonts w:hint="default"/>
        </w:rPr>
        <w:t>‌涵盖温度分布测试、开门影响评估、断电保温性能分析、极端环境保温效果评估等 。</w:t>
      </w:r>
    </w:p>
    <w:p w14:paraId="292BFE12">
      <w:pPr>
        <w:rPr>
          <w:rFonts w:hint="default"/>
        </w:rPr>
      </w:pPr>
      <w:r>
        <w:rPr>
          <w:rFonts w:hint="default"/>
        </w:rPr>
        <w:t>特别提醒：独立设置于自然环境中的冷库，应在夏季高温或冬季低温时补充进行保温效果评估，以验证其极端条件下的稳定性 。</w:t>
      </w:r>
    </w:p>
    <w:p w14:paraId="5EDF454C">
      <w:pPr>
        <w:rPr>
          <w:rFonts w:hint="default"/>
        </w:rPr>
      </w:pPr>
      <w:r>
        <w:rPr>
          <w:rFonts w:hint="default"/>
        </w:rPr>
        <w:t>四、典型应用场景</w:t>
      </w:r>
    </w:p>
    <w:p w14:paraId="3E7DB209">
      <w:pPr>
        <w:rPr>
          <w:rFonts w:hint="default"/>
        </w:rPr>
      </w:pPr>
      <w:r>
        <w:rPr>
          <w:rFonts w:hint="default"/>
        </w:rPr>
        <w:t>GSP冷库不仅是药品流通企业的标配，也深度服务于：</w:t>
      </w:r>
    </w:p>
    <w:p w14:paraId="4CB3C0A4">
      <w:r>
        <w:rPr>
          <w:rFonts w:hint="default"/>
        </w:rPr>
        <w:t>‌</w:t>
      </w:r>
      <w:r>
        <w:rPr>
          <w:rFonts w:hint="default"/>
        </w:rPr>
        <w:t>医院药库</w:t>
      </w:r>
      <w:r>
        <w:rPr>
          <w:rFonts w:hint="default"/>
        </w:rPr>
        <w:t>‌：保障住院患者用药安全，特别是贵重药品与免疫制剂</w:t>
      </w:r>
    </w:p>
    <w:p w14:paraId="7B8C40AC">
      <w:r>
        <w:rPr>
          <w:rFonts w:hint="default"/>
        </w:rPr>
        <w:t>‌</w:t>
      </w:r>
      <w:r>
        <w:rPr>
          <w:rFonts w:hint="default"/>
        </w:rPr>
        <w:t>疾控中心</w:t>
      </w:r>
      <w:r>
        <w:rPr>
          <w:rFonts w:hint="default"/>
        </w:rPr>
        <w:t>‌：支撑大规模疫苗接种工作的冷链基础</w:t>
      </w:r>
    </w:p>
    <w:p w14:paraId="652F44CD">
      <w:r>
        <w:rPr>
          <w:rFonts w:hint="default"/>
        </w:rPr>
        <w:t>‌</w:t>
      </w:r>
      <w:r>
        <w:rPr>
          <w:rFonts w:hint="default"/>
        </w:rPr>
        <w:t>第三方医药物流</w:t>
      </w:r>
      <w:r>
        <w:rPr>
          <w:rFonts w:hint="default"/>
        </w:rPr>
        <w:t>‌：为多企业提供合规仓储与配送服务</w:t>
      </w:r>
    </w:p>
    <w:p w14:paraId="21A0F1DE">
      <w:r>
        <w:rPr>
          <w:rFonts w:hint="default"/>
        </w:rPr>
        <w:t>‌</w:t>
      </w:r>
      <w:r>
        <w:rPr>
          <w:rFonts w:hint="default"/>
        </w:rPr>
        <w:t>连锁药店总部</w:t>
      </w:r>
      <w:r>
        <w:rPr>
          <w:rFonts w:hint="default"/>
        </w:rPr>
        <w:t>‌：集中管理冷链药品库存，提升运营效率</w:t>
      </w:r>
    </w:p>
    <w:p w14:paraId="0033DCB0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3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2026-03-16T08:42:30Z</dcterms:created>
  <dc:creator>Mt</dc:creator>
  <cp:lastModifiedBy>制药网阳阳</cp:lastModifiedBy>
  <dcterms:modified xsi:type="dcterms:W3CDTF">2026-03-16T08:43:27Z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D2546EDEC060435DBEEDA333A6490D9B_12</vt:lpwstr>
  </property>
</Properties>
</file>