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DB4CF83">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18" w:lineRule="atLeast"/>
        <w:ind w:left="0" w:right="0" w:firstLine="0"/>
        <w:jc w:val="center"/>
        <w:rPr>
          <w:rFonts w:ascii="微软雅黑" w:hAnsi="微软雅黑" w:eastAsia="微软雅黑" w:cs="微软雅黑"/>
          <w:b/>
          <w:bCs/>
          <w:i w:val="0"/>
          <w:iCs w:val="0"/>
          <w:caps w:val="0"/>
          <w:color w:val="333333"/>
          <w:spacing w:val="0"/>
          <w:sz w:val="42"/>
          <w:szCs w:val="42"/>
        </w:rPr>
      </w:pPr>
      <w:r>
        <w:rPr>
          <w:rFonts w:hint="eastAsia" w:ascii="微软雅黑" w:hAnsi="微软雅黑" w:eastAsia="微软雅黑" w:cs="微软雅黑"/>
          <w:b/>
          <w:bCs/>
          <w:i w:val="0"/>
          <w:iCs w:val="0"/>
          <w:caps w:val="0"/>
          <w:color w:val="333333"/>
          <w:spacing w:val="0"/>
          <w:sz w:val="42"/>
          <w:szCs w:val="42"/>
          <w:bdr w:val="none" w:color="auto" w:sz="0" w:space="0"/>
          <w:shd w:val="clear" w:fill="FFFFFF"/>
        </w:rPr>
        <w:t>全自动双振动定量给料机的工作原理及主要结构组成</w:t>
      </w:r>
    </w:p>
    <w:p w14:paraId="25ADFD6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1"/>
          <w:szCs w:val="21"/>
          <w:shd w:val="clear" w:fill="FFFFFF"/>
          <w:lang w:val="en-US" w:eastAsia="zh-CN" w:bidi="ar"/>
        </w:rPr>
        <w:t>　　全自动双振动定量给料机是集物料输送与精准计量于一体的工业设备，通过双振动源协同实现物料均匀输送，配合自动控制系统达成定量给料，广泛适配矿山、建材、冶金等行业连续生产需求。以下将说明其工作原理及核心结构组成。</w:t>
      </w:r>
      <w:r>
        <w:rPr>
          <w:rFonts w:hint="eastAsia" w:ascii="微软雅黑" w:hAnsi="微软雅黑" w:eastAsia="微软雅黑" w:cs="微软雅黑"/>
          <w:i w:val="0"/>
          <w:iCs w:val="0"/>
          <w:caps w:val="0"/>
          <w:color w:val="333333"/>
          <w:spacing w:val="0"/>
          <w:kern w:val="0"/>
          <w:sz w:val="21"/>
          <w:szCs w:val="21"/>
          <w:shd w:val="clear" w:fill="FFFFFF"/>
          <w:lang w:val="en-US" w:eastAsia="zh-CN" w:bidi="ar"/>
        </w:rPr>
        <w:br w:type="textWrapping"/>
      </w:r>
      <w:r>
        <w:rPr>
          <w:rFonts w:hint="eastAsia" w:ascii="微软雅黑" w:hAnsi="微软雅黑" w:eastAsia="微软雅黑" w:cs="微软雅黑"/>
          <w:i w:val="0"/>
          <w:iCs w:val="0"/>
          <w:caps w:val="0"/>
          <w:color w:val="333333"/>
          <w:spacing w:val="0"/>
          <w:kern w:val="0"/>
          <w:sz w:val="21"/>
          <w:szCs w:val="21"/>
          <w:shd w:val="clear" w:fill="FFFFFF"/>
          <w:lang w:val="en-US" w:eastAsia="zh-CN" w:bidi="ar"/>
        </w:rPr>
        <w:t> </w:t>
      </w:r>
    </w:p>
    <w:p w14:paraId="431A674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1"/>
          <w:szCs w:val="21"/>
          <w:shd w:val="clear" w:fill="FFFFFF"/>
          <w:lang w:val="en-US" w:eastAsia="zh-CN" w:bidi="ar"/>
        </w:rPr>
        <w:t>　　一、工作原理</w:t>
      </w:r>
      <w:r>
        <w:rPr>
          <w:rFonts w:hint="eastAsia" w:ascii="微软雅黑" w:hAnsi="微软雅黑" w:eastAsia="微软雅黑" w:cs="微软雅黑"/>
          <w:i w:val="0"/>
          <w:iCs w:val="0"/>
          <w:caps w:val="0"/>
          <w:color w:val="333333"/>
          <w:spacing w:val="0"/>
          <w:kern w:val="0"/>
          <w:sz w:val="21"/>
          <w:szCs w:val="21"/>
          <w:shd w:val="clear" w:fill="FFFFFF"/>
          <w:lang w:val="en-US" w:eastAsia="zh-CN" w:bidi="ar"/>
        </w:rPr>
        <w:br w:type="textWrapping"/>
      </w:r>
      <w:r>
        <w:rPr>
          <w:rFonts w:hint="eastAsia" w:ascii="微软雅黑" w:hAnsi="微软雅黑" w:eastAsia="微软雅黑" w:cs="微软雅黑"/>
          <w:i w:val="0"/>
          <w:iCs w:val="0"/>
          <w:caps w:val="0"/>
          <w:color w:val="333333"/>
          <w:spacing w:val="0"/>
          <w:kern w:val="0"/>
          <w:sz w:val="21"/>
          <w:szCs w:val="21"/>
          <w:shd w:val="clear" w:fill="FFFFFF"/>
          <w:lang w:val="en-US" w:eastAsia="zh-CN" w:bidi="ar"/>
        </w:rPr>
        <w:t> </w:t>
      </w:r>
    </w:p>
    <w:p w14:paraId="30B7773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1"/>
          <w:szCs w:val="21"/>
          <w:shd w:val="clear" w:fill="FFFFFF"/>
          <w:lang w:val="en-US" w:eastAsia="zh-CN" w:bidi="ar"/>
        </w:rPr>
        <w:t>　　该设备以双振动激励为动力核心，结合重量检测与自动调控系统，实现 “振动输送 - 重量计量 - 精准调控” 闭环运行，具体过程如下：</w:t>
      </w:r>
      <w:r>
        <w:rPr>
          <w:rFonts w:hint="eastAsia" w:ascii="微软雅黑" w:hAnsi="微软雅黑" w:eastAsia="微软雅黑" w:cs="微软雅黑"/>
          <w:i w:val="0"/>
          <w:iCs w:val="0"/>
          <w:caps w:val="0"/>
          <w:color w:val="333333"/>
          <w:spacing w:val="0"/>
          <w:kern w:val="0"/>
          <w:sz w:val="21"/>
          <w:szCs w:val="21"/>
          <w:shd w:val="clear" w:fill="FFFFFF"/>
          <w:lang w:val="en-US" w:eastAsia="zh-CN" w:bidi="ar"/>
        </w:rPr>
        <w:br w:type="textWrapping"/>
      </w:r>
      <w:r>
        <w:rPr>
          <w:rFonts w:hint="eastAsia" w:ascii="微软雅黑" w:hAnsi="微软雅黑" w:eastAsia="微软雅黑" w:cs="微软雅黑"/>
          <w:i w:val="0"/>
          <w:iCs w:val="0"/>
          <w:caps w:val="0"/>
          <w:color w:val="333333"/>
          <w:spacing w:val="0"/>
          <w:kern w:val="0"/>
          <w:sz w:val="21"/>
          <w:szCs w:val="21"/>
          <w:shd w:val="clear" w:fill="FFFFFF"/>
          <w:lang w:val="en-US" w:eastAsia="zh-CN" w:bidi="ar"/>
        </w:rPr>
        <w:t> </w:t>
      </w:r>
    </w:p>
    <w:p w14:paraId="218E45F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1"/>
          <w:szCs w:val="21"/>
          <w:shd w:val="clear" w:fill="FFFFFF"/>
          <w:lang w:val="en-US" w:eastAsia="zh-CN" w:bidi="ar"/>
        </w:rPr>
        <w:t>　　•</w:t>
      </w:r>
      <w:r>
        <w:rPr>
          <w:rStyle w:val="10"/>
          <w:rFonts w:hint="eastAsia" w:ascii="微软雅黑" w:hAnsi="微软雅黑" w:eastAsia="微软雅黑" w:cs="微软雅黑"/>
          <w:b/>
          <w:bCs/>
          <w:i w:val="0"/>
          <w:iCs w:val="0"/>
          <w:caps w:val="0"/>
          <w:color w:val="333333"/>
          <w:spacing w:val="0"/>
          <w:kern w:val="0"/>
          <w:sz w:val="21"/>
          <w:szCs w:val="21"/>
          <w:shd w:val="clear" w:fill="FFFFFF"/>
          <w:lang w:val="en-US" w:eastAsia="zh-CN" w:bidi="ar"/>
        </w:rPr>
        <w:t>双振动协同送料</w:t>
      </w:r>
      <w:r>
        <w:rPr>
          <w:rFonts w:hint="eastAsia" w:ascii="微软雅黑" w:hAnsi="微软雅黑" w:eastAsia="微软雅黑" w:cs="微软雅黑"/>
          <w:i w:val="0"/>
          <w:iCs w:val="0"/>
          <w:caps w:val="0"/>
          <w:color w:val="333333"/>
          <w:spacing w:val="0"/>
          <w:kern w:val="0"/>
          <w:sz w:val="21"/>
          <w:szCs w:val="21"/>
          <w:shd w:val="clear" w:fill="FFFFFF"/>
          <w:lang w:val="en-US" w:eastAsia="zh-CN" w:bidi="ar"/>
        </w:rPr>
        <w:t>：设备搭载两组振动电机为激振源，沿机体中心线反向同步运转，通过偏心块旋转产生复合激振力，驱动给料槽体往复直线振动，使物料按抛物线轨迹跳跃前进。主振动器高频低幅催动物料分散，副振动器低频高幅推动物料输送，避免结块堵塞，保障均匀性。</w:t>
      </w:r>
      <w:r>
        <w:rPr>
          <w:rFonts w:hint="eastAsia" w:ascii="微软雅黑" w:hAnsi="微软雅黑" w:eastAsia="微软雅黑" w:cs="微软雅黑"/>
          <w:i w:val="0"/>
          <w:iCs w:val="0"/>
          <w:caps w:val="0"/>
          <w:color w:val="333333"/>
          <w:spacing w:val="0"/>
          <w:kern w:val="0"/>
          <w:sz w:val="21"/>
          <w:szCs w:val="21"/>
          <w:shd w:val="clear" w:fill="FFFFFF"/>
          <w:lang w:val="en-US" w:eastAsia="zh-CN" w:bidi="ar"/>
        </w:rPr>
        <w:br w:type="textWrapping"/>
      </w:r>
      <w:r>
        <w:rPr>
          <w:rFonts w:hint="eastAsia" w:ascii="微软雅黑" w:hAnsi="微软雅黑" w:eastAsia="微软雅黑" w:cs="微软雅黑"/>
          <w:i w:val="0"/>
          <w:iCs w:val="0"/>
          <w:caps w:val="0"/>
          <w:color w:val="333333"/>
          <w:spacing w:val="0"/>
          <w:kern w:val="0"/>
          <w:sz w:val="21"/>
          <w:szCs w:val="21"/>
          <w:shd w:val="clear" w:fill="FFFFFF"/>
          <w:lang w:val="en-US" w:eastAsia="zh-CN" w:bidi="ar"/>
        </w:rPr>
        <w:t> </w:t>
      </w:r>
    </w:p>
    <w:p w14:paraId="69C5F25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1"/>
          <w:szCs w:val="21"/>
          <w:shd w:val="clear" w:fill="FFFFFF"/>
          <w:lang w:val="en-US" w:eastAsia="zh-CN" w:bidi="ar"/>
        </w:rPr>
        <w:t>　　•</w:t>
      </w:r>
      <w:r>
        <w:rPr>
          <w:rStyle w:val="10"/>
          <w:rFonts w:hint="eastAsia" w:ascii="微软雅黑" w:hAnsi="微软雅黑" w:eastAsia="微软雅黑" w:cs="微软雅黑"/>
          <w:b/>
          <w:bCs/>
          <w:i w:val="0"/>
          <w:iCs w:val="0"/>
          <w:caps w:val="0"/>
          <w:color w:val="333333"/>
          <w:spacing w:val="0"/>
          <w:kern w:val="0"/>
          <w:sz w:val="21"/>
          <w:szCs w:val="21"/>
          <w:shd w:val="clear" w:fill="FFFFFF"/>
          <w:lang w:val="en-US" w:eastAsia="zh-CN" w:bidi="ar"/>
        </w:rPr>
        <w:t>重量检测与信号传输</w:t>
      </w:r>
      <w:r>
        <w:rPr>
          <w:rFonts w:hint="eastAsia" w:ascii="微软雅黑" w:hAnsi="微软雅黑" w:eastAsia="微软雅黑" w:cs="微软雅黑"/>
          <w:i w:val="0"/>
          <w:iCs w:val="0"/>
          <w:caps w:val="0"/>
          <w:color w:val="333333"/>
          <w:spacing w:val="0"/>
          <w:kern w:val="0"/>
          <w:sz w:val="21"/>
          <w:szCs w:val="21"/>
          <w:shd w:val="clear" w:fill="FFFFFF"/>
          <w:lang w:val="en-US" w:eastAsia="zh-CN" w:bidi="ar"/>
        </w:rPr>
        <w:t>：给料槽下方的称重传感器实时检测物料瞬时重量，将信号转为电信号传至控制单元；测速元件同步采集电机运行频率，两类信号为定量计算提供基础参数。</w:t>
      </w:r>
    </w:p>
    <w:p w14:paraId="0759059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1"/>
          <w:szCs w:val="21"/>
          <w:shd w:val="clear" w:fill="FFFFFF"/>
          <w:lang w:val="en-US" w:eastAsia="zh-CN" w:bidi="ar"/>
        </w:rPr>
        <w:t> </w:t>
      </w:r>
    </w:p>
    <w:p w14:paraId="2B436B1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1"/>
          <w:szCs w:val="21"/>
          <w:shd w:val="clear" w:fill="FFFFFF"/>
          <w:lang w:val="en-US" w:eastAsia="zh-CN" w:bidi="ar"/>
        </w:rPr>
        <w:t>　　•</w:t>
      </w:r>
      <w:r>
        <w:rPr>
          <w:rStyle w:val="10"/>
          <w:rFonts w:hint="eastAsia" w:ascii="微软雅黑" w:hAnsi="微软雅黑" w:eastAsia="微软雅黑" w:cs="微软雅黑"/>
          <w:b/>
          <w:bCs/>
          <w:i w:val="0"/>
          <w:iCs w:val="0"/>
          <w:caps w:val="0"/>
          <w:color w:val="333333"/>
          <w:spacing w:val="0"/>
          <w:kern w:val="0"/>
          <w:sz w:val="21"/>
          <w:szCs w:val="21"/>
          <w:shd w:val="clear" w:fill="FFFFFF"/>
          <w:lang w:val="en-US" w:eastAsia="zh-CN" w:bidi="ar"/>
        </w:rPr>
        <w:t>全自动定量调控</w:t>
      </w:r>
      <w:r>
        <w:rPr>
          <w:rFonts w:hint="eastAsia" w:ascii="微软雅黑" w:hAnsi="微软雅黑" w:eastAsia="微软雅黑" w:cs="微软雅黑"/>
          <w:i w:val="0"/>
          <w:iCs w:val="0"/>
          <w:caps w:val="0"/>
          <w:color w:val="333333"/>
          <w:spacing w:val="0"/>
          <w:kern w:val="0"/>
          <w:sz w:val="21"/>
          <w:szCs w:val="21"/>
          <w:shd w:val="clear" w:fill="FFFFFF"/>
          <w:lang w:val="en-US" w:eastAsia="zh-CN" w:bidi="ar"/>
        </w:rPr>
        <w:t>：控制单元接收信号后运算实际给料量，与预设值比对。若偏离设定值，系统通过变频器调节电机转速，改变激振力与振动频率 —— 转速升高则给料量增加，反之减少，实现动态精准控制；设备启停响应迅速，可瞬时启闭料流，提升定量精度。</w:t>
      </w:r>
    </w:p>
    <w:p w14:paraId="14ECB03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1"/>
          <w:szCs w:val="21"/>
          <w:shd w:val="clear" w:fill="FFFFFF"/>
          <w:lang w:val="en-US" w:eastAsia="zh-CN" w:bidi="ar"/>
        </w:rPr>
        <w:t> </w:t>
      </w:r>
    </w:p>
    <w:p w14:paraId="612BBF9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1"/>
          <w:szCs w:val="21"/>
          <w:shd w:val="clear" w:fill="FFFFFF"/>
          <w:lang w:val="en-US" w:eastAsia="zh-CN" w:bidi="ar"/>
        </w:rPr>
        <w:t>　　二、主要结构组成</w:t>
      </w:r>
      <w:r>
        <w:rPr>
          <w:rFonts w:hint="eastAsia" w:ascii="微软雅黑" w:hAnsi="微软雅黑" w:eastAsia="微软雅黑" w:cs="微软雅黑"/>
          <w:i w:val="0"/>
          <w:iCs w:val="0"/>
          <w:caps w:val="0"/>
          <w:color w:val="333333"/>
          <w:spacing w:val="0"/>
          <w:kern w:val="0"/>
          <w:sz w:val="21"/>
          <w:szCs w:val="21"/>
          <w:shd w:val="clear" w:fill="FFFFFF"/>
          <w:lang w:val="en-US" w:eastAsia="zh-CN" w:bidi="ar"/>
        </w:rPr>
        <w:br w:type="textWrapping"/>
      </w:r>
      <w:r>
        <w:rPr>
          <w:rFonts w:hint="eastAsia" w:ascii="微软雅黑" w:hAnsi="微软雅黑" w:eastAsia="微软雅黑" w:cs="微软雅黑"/>
          <w:i w:val="0"/>
          <w:iCs w:val="0"/>
          <w:caps w:val="0"/>
          <w:color w:val="333333"/>
          <w:spacing w:val="0"/>
          <w:kern w:val="0"/>
          <w:sz w:val="21"/>
          <w:szCs w:val="21"/>
          <w:shd w:val="clear" w:fill="FFFFFF"/>
          <w:lang w:val="en-US" w:eastAsia="zh-CN" w:bidi="ar"/>
        </w:rPr>
        <w:t> </w:t>
      </w:r>
    </w:p>
    <w:p w14:paraId="72DB874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1"/>
          <w:szCs w:val="21"/>
          <w:shd w:val="clear" w:fill="FFFFFF"/>
          <w:lang w:val="en-US" w:eastAsia="zh-CN" w:bidi="ar"/>
        </w:rPr>
        <w:t>　　设备结构围绕 “振动输送”“重量计量”“自动控制” 三大功能设计，核心部件如下：</w:t>
      </w:r>
      <w:r>
        <w:rPr>
          <w:rFonts w:hint="eastAsia" w:ascii="微软雅黑" w:hAnsi="微软雅黑" w:eastAsia="微软雅黑" w:cs="微软雅黑"/>
          <w:i w:val="0"/>
          <w:iCs w:val="0"/>
          <w:caps w:val="0"/>
          <w:color w:val="333333"/>
          <w:spacing w:val="0"/>
          <w:kern w:val="0"/>
          <w:sz w:val="21"/>
          <w:szCs w:val="21"/>
          <w:shd w:val="clear" w:fill="FFFFFF"/>
          <w:lang w:val="en-US" w:eastAsia="zh-CN" w:bidi="ar"/>
        </w:rPr>
        <w:br w:type="textWrapping"/>
      </w:r>
      <w:r>
        <w:rPr>
          <w:rFonts w:hint="eastAsia" w:ascii="微软雅黑" w:hAnsi="微软雅黑" w:eastAsia="微软雅黑" w:cs="微软雅黑"/>
          <w:i w:val="0"/>
          <w:iCs w:val="0"/>
          <w:caps w:val="0"/>
          <w:color w:val="333333"/>
          <w:spacing w:val="0"/>
          <w:kern w:val="0"/>
          <w:sz w:val="21"/>
          <w:szCs w:val="21"/>
          <w:shd w:val="clear" w:fill="FFFFFF"/>
          <w:lang w:val="en-US" w:eastAsia="zh-CN" w:bidi="ar"/>
        </w:rPr>
        <w:t> </w:t>
      </w:r>
    </w:p>
    <w:p w14:paraId="2AF8480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1"/>
          <w:szCs w:val="21"/>
          <w:shd w:val="clear" w:fill="FFFFFF"/>
          <w:lang w:val="en-US" w:eastAsia="zh-CN" w:bidi="ar"/>
        </w:rPr>
        <w:t>　　1. 振动输送结构</w:t>
      </w:r>
      <w:r>
        <w:rPr>
          <w:rFonts w:hint="eastAsia" w:ascii="微软雅黑" w:hAnsi="微软雅黑" w:eastAsia="微软雅黑" w:cs="微软雅黑"/>
          <w:i w:val="0"/>
          <w:iCs w:val="0"/>
          <w:caps w:val="0"/>
          <w:color w:val="333333"/>
          <w:spacing w:val="0"/>
          <w:kern w:val="0"/>
          <w:sz w:val="21"/>
          <w:szCs w:val="21"/>
          <w:shd w:val="clear" w:fill="FFFFFF"/>
          <w:lang w:val="en-US" w:eastAsia="zh-CN" w:bidi="ar"/>
        </w:rPr>
        <w:br w:type="textWrapping"/>
      </w:r>
      <w:r>
        <w:rPr>
          <w:rFonts w:hint="eastAsia" w:ascii="微软雅黑" w:hAnsi="微软雅黑" w:eastAsia="微软雅黑" w:cs="微软雅黑"/>
          <w:i w:val="0"/>
          <w:iCs w:val="0"/>
          <w:caps w:val="0"/>
          <w:color w:val="333333"/>
          <w:spacing w:val="0"/>
          <w:kern w:val="0"/>
          <w:sz w:val="21"/>
          <w:szCs w:val="21"/>
          <w:shd w:val="clear" w:fill="FFFFFF"/>
          <w:lang w:val="en-US" w:eastAsia="zh-CN" w:bidi="ar"/>
        </w:rPr>
        <w:t> </w:t>
      </w:r>
    </w:p>
    <w:p w14:paraId="412E076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1"/>
          <w:szCs w:val="21"/>
          <w:shd w:val="clear" w:fill="FFFFFF"/>
          <w:lang w:val="en-US" w:eastAsia="zh-CN" w:bidi="ar"/>
        </w:rPr>
        <w:t>　　•</w:t>
      </w:r>
      <w:r>
        <w:rPr>
          <w:rStyle w:val="10"/>
          <w:rFonts w:hint="eastAsia" w:ascii="微软雅黑" w:hAnsi="微软雅黑" w:eastAsia="微软雅黑" w:cs="微软雅黑"/>
          <w:b/>
          <w:bCs/>
          <w:i w:val="0"/>
          <w:iCs w:val="0"/>
          <w:caps w:val="0"/>
          <w:color w:val="333333"/>
          <w:spacing w:val="0"/>
          <w:kern w:val="0"/>
          <w:sz w:val="21"/>
          <w:szCs w:val="21"/>
          <w:shd w:val="clear" w:fill="FFFFFF"/>
          <w:lang w:val="en-US" w:eastAsia="zh-CN" w:bidi="ar"/>
        </w:rPr>
        <w:t>双振动电机组件</w:t>
      </w:r>
      <w:r>
        <w:rPr>
          <w:rFonts w:hint="eastAsia" w:ascii="微软雅黑" w:hAnsi="微软雅黑" w:eastAsia="微软雅黑" w:cs="微软雅黑"/>
          <w:i w:val="0"/>
          <w:iCs w:val="0"/>
          <w:caps w:val="0"/>
          <w:color w:val="333333"/>
          <w:spacing w:val="0"/>
          <w:kern w:val="0"/>
          <w:sz w:val="21"/>
          <w:szCs w:val="21"/>
          <w:shd w:val="clear" w:fill="FFFFFF"/>
          <w:lang w:val="en-US" w:eastAsia="zh-CN" w:bidi="ar"/>
        </w:rPr>
        <w:t>：由两台同步运转的振动电机构成，轴端设可调偏心块，通过改变偏心块夹角调节激振力与输送速度，电机安装于给料槽两侧或底部，决定输送效率与均匀性。</w:t>
      </w:r>
    </w:p>
    <w:p w14:paraId="0EA0B99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1"/>
          <w:szCs w:val="21"/>
          <w:shd w:val="clear" w:fill="FFFFFF"/>
          <w:lang w:val="en-US" w:eastAsia="zh-CN" w:bidi="ar"/>
        </w:rPr>
        <w:t> </w:t>
      </w:r>
    </w:p>
    <w:p w14:paraId="7CA03CB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1"/>
          <w:szCs w:val="21"/>
          <w:shd w:val="clear" w:fill="FFFFFF"/>
          <w:lang w:val="en-US" w:eastAsia="zh-CN" w:bidi="ar"/>
        </w:rPr>
        <w:t>　　•</w:t>
      </w:r>
      <w:r>
        <w:rPr>
          <w:rStyle w:val="10"/>
          <w:rFonts w:hint="eastAsia" w:ascii="微软雅黑" w:hAnsi="微软雅黑" w:eastAsia="微软雅黑" w:cs="微软雅黑"/>
          <w:b/>
          <w:bCs/>
          <w:i w:val="0"/>
          <w:iCs w:val="0"/>
          <w:caps w:val="0"/>
          <w:color w:val="333333"/>
          <w:spacing w:val="0"/>
          <w:kern w:val="0"/>
          <w:sz w:val="21"/>
          <w:szCs w:val="21"/>
          <w:shd w:val="clear" w:fill="FFFFFF"/>
          <w:lang w:val="en-US" w:eastAsia="zh-CN" w:bidi="ar"/>
        </w:rPr>
        <w:t>给料槽体</w:t>
      </w:r>
      <w:r>
        <w:rPr>
          <w:rFonts w:hint="eastAsia" w:ascii="微软雅黑" w:hAnsi="微软雅黑" w:eastAsia="微软雅黑" w:cs="微软雅黑"/>
          <w:i w:val="0"/>
          <w:iCs w:val="0"/>
          <w:caps w:val="0"/>
          <w:color w:val="333333"/>
          <w:spacing w:val="0"/>
          <w:kern w:val="0"/>
          <w:sz w:val="21"/>
          <w:szCs w:val="21"/>
          <w:shd w:val="clear" w:fill="FFFFFF"/>
          <w:lang w:val="en-US" w:eastAsia="zh-CN" w:bidi="ar"/>
        </w:rPr>
        <w:t>：倾斜式设计，材质依物料特性选耐磨钢板或防腐材料，内壁光滑减少粘附磨损；两端设进料、出料口，分别衔接料仓与下游设备，槽体长度与倾角可按需调整。</w:t>
      </w:r>
    </w:p>
    <w:p w14:paraId="0AFDEB0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1"/>
          <w:szCs w:val="21"/>
          <w:shd w:val="clear" w:fill="FFFFFF"/>
          <w:lang w:val="en-US" w:eastAsia="zh-CN" w:bidi="ar"/>
        </w:rPr>
        <w:t> </w:t>
      </w:r>
    </w:p>
    <w:p w14:paraId="3743CB8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1"/>
          <w:szCs w:val="21"/>
          <w:shd w:val="clear" w:fill="FFFFFF"/>
          <w:lang w:val="en-US" w:eastAsia="zh-CN" w:bidi="ar"/>
        </w:rPr>
        <w:t>　　•</w:t>
      </w:r>
      <w:r>
        <w:rPr>
          <w:rStyle w:val="10"/>
          <w:rFonts w:hint="eastAsia" w:ascii="微软雅黑" w:hAnsi="微软雅黑" w:eastAsia="微软雅黑" w:cs="微软雅黑"/>
          <w:b/>
          <w:bCs/>
          <w:i w:val="0"/>
          <w:iCs w:val="0"/>
          <w:caps w:val="0"/>
          <w:color w:val="333333"/>
          <w:spacing w:val="0"/>
          <w:kern w:val="0"/>
          <w:sz w:val="21"/>
          <w:szCs w:val="21"/>
          <w:shd w:val="clear" w:fill="FFFFFF"/>
          <w:lang w:val="en-US" w:eastAsia="zh-CN" w:bidi="ar"/>
        </w:rPr>
        <w:t>弹性支撑装置</w:t>
      </w:r>
      <w:r>
        <w:rPr>
          <w:rFonts w:hint="eastAsia" w:ascii="微软雅黑" w:hAnsi="微软雅黑" w:eastAsia="微软雅黑" w:cs="微软雅黑"/>
          <w:i w:val="0"/>
          <w:iCs w:val="0"/>
          <w:caps w:val="0"/>
          <w:color w:val="333333"/>
          <w:spacing w:val="0"/>
          <w:kern w:val="0"/>
          <w:sz w:val="21"/>
          <w:szCs w:val="21"/>
          <w:shd w:val="clear" w:fill="FFFFFF"/>
          <w:lang w:val="en-US" w:eastAsia="zh-CN" w:bidi="ar"/>
        </w:rPr>
        <w:t>：含激振弹簧与隔振弹簧 —— 激振弹簧连接电机与槽体，传递激振力并放大振动；隔振弹簧装于槽体与机架间，吸收振动能量，减少对基础的动载荷，降低噪音干扰。</w:t>
      </w:r>
    </w:p>
    <w:p w14:paraId="6FA66D5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1"/>
          <w:szCs w:val="21"/>
          <w:shd w:val="clear" w:fill="FFFFFF"/>
          <w:lang w:val="en-US" w:eastAsia="zh-CN" w:bidi="ar"/>
        </w:rPr>
        <w:t> </w:t>
      </w:r>
    </w:p>
    <w:p w14:paraId="14A955C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1"/>
          <w:szCs w:val="21"/>
          <w:shd w:val="clear" w:fill="FFFFFF"/>
          <w:lang w:val="en-US" w:eastAsia="zh-CN" w:bidi="ar"/>
        </w:rPr>
        <w:t>　　2. 重量计量结构</w:t>
      </w:r>
      <w:r>
        <w:rPr>
          <w:rFonts w:hint="eastAsia" w:ascii="微软雅黑" w:hAnsi="微软雅黑" w:eastAsia="微软雅黑" w:cs="微软雅黑"/>
          <w:i w:val="0"/>
          <w:iCs w:val="0"/>
          <w:caps w:val="0"/>
          <w:color w:val="333333"/>
          <w:spacing w:val="0"/>
          <w:kern w:val="0"/>
          <w:sz w:val="21"/>
          <w:szCs w:val="21"/>
          <w:shd w:val="clear" w:fill="FFFFFF"/>
          <w:lang w:val="en-US" w:eastAsia="zh-CN" w:bidi="ar"/>
        </w:rPr>
        <w:br w:type="textWrapping"/>
      </w:r>
      <w:r>
        <w:rPr>
          <w:rFonts w:hint="eastAsia" w:ascii="微软雅黑" w:hAnsi="微软雅黑" w:eastAsia="微软雅黑" w:cs="微软雅黑"/>
          <w:i w:val="0"/>
          <w:iCs w:val="0"/>
          <w:caps w:val="0"/>
          <w:color w:val="333333"/>
          <w:spacing w:val="0"/>
          <w:kern w:val="0"/>
          <w:sz w:val="21"/>
          <w:szCs w:val="21"/>
          <w:shd w:val="clear" w:fill="FFFFFF"/>
          <w:lang w:val="en-US" w:eastAsia="zh-CN" w:bidi="ar"/>
        </w:rPr>
        <w:t> </w:t>
      </w:r>
    </w:p>
    <w:p w14:paraId="073B914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1"/>
          <w:szCs w:val="21"/>
          <w:shd w:val="clear" w:fill="FFFFFF"/>
          <w:lang w:val="en-US" w:eastAsia="zh-CN" w:bidi="ar"/>
        </w:rPr>
        <w:t>　　•</w:t>
      </w:r>
      <w:r>
        <w:rPr>
          <w:rStyle w:val="10"/>
          <w:rFonts w:hint="eastAsia" w:ascii="微软雅黑" w:hAnsi="微软雅黑" w:eastAsia="微软雅黑" w:cs="微软雅黑"/>
          <w:b/>
          <w:bCs/>
          <w:i w:val="0"/>
          <w:iCs w:val="0"/>
          <w:caps w:val="0"/>
          <w:color w:val="333333"/>
          <w:spacing w:val="0"/>
          <w:kern w:val="0"/>
          <w:sz w:val="21"/>
          <w:szCs w:val="21"/>
          <w:shd w:val="clear" w:fill="FFFFFF"/>
          <w:lang w:val="en-US" w:eastAsia="zh-CN" w:bidi="ar"/>
        </w:rPr>
        <w:t>称重传感器</w:t>
      </w:r>
      <w:r>
        <w:rPr>
          <w:rFonts w:hint="eastAsia" w:ascii="微软雅黑" w:hAnsi="微软雅黑" w:eastAsia="微软雅黑" w:cs="微软雅黑"/>
          <w:i w:val="0"/>
          <w:iCs w:val="0"/>
          <w:caps w:val="0"/>
          <w:color w:val="333333"/>
          <w:spacing w:val="0"/>
          <w:kern w:val="0"/>
          <w:sz w:val="21"/>
          <w:szCs w:val="21"/>
          <w:shd w:val="clear" w:fill="FFFFFF"/>
          <w:lang w:val="en-US" w:eastAsia="zh-CN" w:bidi="ar"/>
        </w:rPr>
        <w:t>：多为剪切梁式或悬臂梁式，均匀分布在给料槽底部承重支架上，精准捕捉重量变化，满足工业定量需求；与槽体柔性连接，避免振动影响检测。</w:t>
      </w:r>
    </w:p>
    <w:p w14:paraId="313C02D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1"/>
          <w:szCs w:val="21"/>
          <w:shd w:val="clear" w:fill="FFFFFF"/>
          <w:lang w:val="en-US" w:eastAsia="zh-CN" w:bidi="ar"/>
        </w:rPr>
        <w:t> </w:t>
      </w:r>
    </w:p>
    <w:p w14:paraId="141FB9F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1"/>
          <w:szCs w:val="21"/>
          <w:shd w:val="clear" w:fill="FFFFFF"/>
          <w:lang w:val="en-US" w:eastAsia="zh-CN" w:bidi="ar"/>
        </w:rPr>
        <w:t>　　•</w:t>
      </w:r>
      <w:r>
        <w:rPr>
          <w:rStyle w:val="10"/>
          <w:rFonts w:hint="eastAsia" w:ascii="微软雅黑" w:hAnsi="微软雅黑" w:eastAsia="微软雅黑" w:cs="微软雅黑"/>
          <w:b/>
          <w:bCs/>
          <w:i w:val="0"/>
          <w:iCs w:val="0"/>
          <w:caps w:val="0"/>
          <w:color w:val="333333"/>
          <w:spacing w:val="0"/>
          <w:kern w:val="0"/>
          <w:sz w:val="21"/>
          <w:szCs w:val="21"/>
          <w:shd w:val="clear" w:fill="FFFFFF"/>
          <w:lang w:val="en-US" w:eastAsia="zh-CN" w:bidi="ar"/>
        </w:rPr>
        <w:t>承重机架</w:t>
      </w:r>
      <w:r>
        <w:rPr>
          <w:rFonts w:hint="eastAsia" w:ascii="微软雅黑" w:hAnsi="微软雅黑" w:eastAsia="微软雅黑" w:cs="微软雅黑"/>
          <w:i w:val="0"/>
          <w:iCs w:val="0"/>
          <w:caps w:val="0"/>
          <w:color w:val="333333"/>
          <w:spacing w:val="0"/>
          <w:kern w:val="0"/>
          <w:sz w:val="21"/>
          <w:szCs w:val="21"/>
          <w:shd w:val="clear" w:fill="FFFFFF"/>
          <w:lang w:val="en-US" w:eastAsia="zh-CN" w:bidi="ar"/>
        </w:rPr>
        <w:t>：支撑给料槽与传感器，需足够刚度与稳定性，防止形变影响检测精度；底部设调平装置，便于安装时校准水平度。</w:t>
      </w:r>
    </w:p>
    <w:p w14:paraId="1E469C7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1"/>
          <w:szCs w:val="21"/>
          <w:shd w:val="clear" w:fill="FFFFFF"/>
          <w:lang w:val="en-US" w:eastAsia="zh-CN" w:bidi="ar"/>
        </w:rPr>
        <w:t> </w:t>
      </w:r>
    </w:p>
    <w:p w14:paraId="28CDD39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1"/>
          <w:szCs w:val="21"/>
          <w:shd w:val="clear" w:fill="FFFFFF"/>
          <w:lang w:val="en-US" w:eastAsia="zh-CN" w:bidi="ar"/>
        </w:rPr>
        <w:t>　　3. 自动控制与辅助结构</w:t>
      </w:r>
      <w:r>
        <w:rPr>
          <w:rFonts w:hint="eastAsia" w:ascii="微软雅黑" w:hAnsi="微软雅黑" w:eastAsia="微软雅黑" w:cs="微软雅黑"/>
          <w:i w:val="0"/>
          <w:iCs w:val="0"/>
          <w:caps w:val="0"/>
          <w:color w:val="333333"/>
          <w:spacing w:val="0"/>
          <w:kern w:val="0"/>
          <w:sz w:val="21"/>
          <w:szCs w:val="21"/>
          <w:shd w:val="clear" w:fill="FFFFFF"/>
          <w:lang w:val="en-US" w:eastAsia="zh-CN" w:bidi="ar"/>
        </w:rPr>
        <w:br w:type="textWrapping"/>
      </w:r>
      <w:r>
        <w:rPr>
          <w:rFonts w:hint="eastAsia" w:ascii="微软雅黑" w:hAnsi="微软雅黑" w:eastAsia="微软雅黑" w:cs="微软雅黑"/>
          <w:i w:val="0"/>
          <w:iCs w:val="0"/>
          <w:caps w:val="0"/>
          <w:color w:val="333333"/>
          <w:spacing w:val="0"/>
          <w:kern w:val="0"/>
          <w:sz w:val="21"/>
          <w:szCs w:val="21"/>
          <w:shd w:val="clear" w:fill="FFFFFF"/>
          <w:lang w:val="en-US" w:eastAsia="zh-CN" w:bidi="ar"/>
        </w:rPr>
        <w:t> </w:t>
      </w:r>
    </w:p>
    <w:p w14:paraId="1F473C0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1"/>
          <w:szCs w:val="21"/>
          <w:shd w:val="clear" w:fill="FFFFFF"/>
          <w:lang w:val="en-US" w:eastAsia="zh-CN" w:bidi="ar"/>
        </w:rPr>
        <w:t>　　•</w:t>
      </w:r>
      <w:r>
        <w:rPr>
          <w:rStyle w:val="10"/>
          <w:rFonts w:hint="eastAsia" w:ascii="微软雅黑" w:hAnsi="微软雅黑" w:eastAsia="微软雅黑" w:cs="微软雅黑"/>
          <w:b/>
          <w:bCs/>
          <w:i w:val="0"/>
          <w:iCs w:val="0"/>
          <w:caps w:val="0"/>
          <w:color w:val="333333"/>
          <w:spacing w:val="0"/>
          <w:kern w:val="0"/>
          <w:sz w:val="21"/>
          <w:szCs w:val="21"/>
          <w:shd w:val="clear" w:fill="FFFFFF"/>
          <w:lang w:val="en-US" w:eastAsia="zh-CN" w:bidi="ar"/>
        </w:rPr>
        <w:t>电控系统</w:t>
      </w:r>
      <w:r>
        <w:rPr>
          <w:rFonts w:hint="eastAsia" w:ascii="微软雅黑" w:hAnsi="微软雅黑" w:eastAsia="微软雅黑" w:cs="微软雅黑"/>
          <w:i w:val="0"/>
          <w:iCs w:val="0"/>
          <w:caps w:val="0"/>
          <w:color w:val="333333"/>
          <w:spacing w:val="0"/>
          <w:kern w:val="0"/>
          <w:sz w:val="21"/>
          <w:szCs w:val="21"/>
          <w:shd w:val="clear" w:fill="FFFFFF"/>
          <w:lang w:val="en-US" w:eastAsia="zh-CN" w:bidi="ar"/>
        </w:rPr>
        <w:t>：由 PLC 控制器、触摸屏、变频器及信号采集模块组成。控制器接收信号并运算，通过变频器调节电机参数；触摸屏可设定给料量、显示运行数据，支持模式切换，部分设备带 RS485 接口，可接入工厂 DCS 系统集中控制。</w:t>
      </w:r>
    </w:p>
    <w:p w14:paraId="0509BF2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1"/>
          <w:szCs w:val="21"/>
          <w:shd w:val="clear" w:fill="FFFFFF"/>
          <w:lang w:val="en-US" w:eastAsia="zh-CN" w:bidi="ar"/>
        </w:rPr>
        <w:t> </w:t>
      </w:r>
    </w:p>
    <w:p w14:paraId="68FC956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1"/>
          <w:szCs w:val="21"/>
          <w:shd w:val="clear" w:fill="FFFFFF"/>
          <w:lang w:val="en-US" w:eastAsia="zh-CN" w:bidi="ar"/>
        </w:rPr>
        <w:t>　　•</w:t>
      </w:r>
      <w:r>
        <w:rPr>
          <w:rStyle w:val="10"/>
          <w:rFonts w:hint="eastAsia" w:ascii="微软雅黑" w:hAnsi="微软雅黑" w:eastAsia="微软雅黑" w:cs="微软雅黑"/>
          <w:b/>
          <w:bCs/>
          <w:i w:val="0"/>
          <w:iCs w:val="0"/>
          <w:caps w:val="0"/>
          <w:color w:val="333333"/>
          <w:spacing w:val="0"/>
          <w:kern w:val="0"/>
          <w:sz w:val="21"/>
          <w:szCs w:val="21"/>
          <w:shd w:val="clear" w:fill="FFFFFF"/>
          <w:lang w:val="en-US" w:eastAsia="zh-CN" w:bidi="ar"/>
        </w:rPr>
        <w:t>辅助防护部件</w:t>
      </w:r>
      <w:r>
        <w:rPr>
          <w:rFonts w:hint="eastAsia" w:ascii="微软雅黑" w:hAnsi="微软雅黑" w:eastAsia="微软雅黑" w:cs="微软雅黑"/>
          <w:i w:val="0"/>
          <w:iCs w:val="0"/>
          <w:caps w:val="0"/>
          <w:color w:val="333333"/>
          <w:spacing w:val="0"/>
          <w:kern w:val="0"/>
          <w:sz w:val="21"/>
          <w:szCs w:val="21"/>
          <w:shd w:val="clear" w:fill="FFFFFF"/>
          <w:lang w:val="en-US" w:eastAsia="zh-CN" w:bidi="ar"/>
        </w:rPr>
        <w:t>：槽体顶部可配防尘盖板防扬尘；出料口设导流板引导物料；底部装减震垫增强隔振效果；部分型号带物料疏通装置，应对粘性物料输送。</w:t>
      </w:r>
    </w:p>
    <w:p w14:paraId="737B14A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b/>
          <w:bCs/>
          <w:color w:val="0000FF"/>
          <w:sz w:val="21"/>
          <w:szCs w:val="21"/>
          <w:lang w:val="en-US" w:eastAsia="zh-CN"/>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Black">
    <w:panose1 w:val="020B0A04020102020204"/>
    <w:charset w:val="00"/>
    <w:family w:val="auto"/>
    <w:pitch w:val="default"/>
    <w:sig w:usb0="A00002AF" w:usb1="400078FB" w:usb2="00000000" w:usb3="00000000" w:csb0="6000009F" w:csb1="DFD7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3"/>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335141"/>
    <w:rsid w:val="00AD53FE"/>
    <w:rsid w:val="00FE5DE6"/>
    <w:rsid w:val="00FF3206"/>
    <w:rsid w:val="019404F8"/>
    <w:rsid w:val="01D54E70"/>
    <w:rsid w:val="01D82826"/>
    <w:rsid w:val="020B3286"/>
    <w:rsid w:val="0248078D"/>
    <w:rsid w:val="027B44A0"/>
    <w:rsid w:val="027D2D3A"/>
    <w:rsid w:val="033C6CFD"/>
    <w:rsid w:val="039D18E6"/>
    <w:rsid w:val="042042C5"/>
    <w:rsid w:val="04737B58"/>
    <w:rsid w:val="049820AD"/>
    <w:rsid w:val="04DC6B2B"/>
    <w:rsid w:val="05A0746B"/>
    <w:rsid w:val="05A2486E"/>
    <w:rsid w:val="05FE6B2C"/>
    <w:rsid w:val="07350087"/>
    <w:rsid w:val="07593D76"/>
    <w:rsid w:val="07B65229"/>
    <w:rsid w:val="097575B9"/>
    <w:rsid w:val="0A764D62"/>
    <w:rsid w:val="0AF838A6"/>
    <w:rsid w:val="0B100BEF"/>
    <w:rsid w:val="0B3D02BF"/>
    <w:rsid w:val="0BDF05C2"/>
    <w:rsid w:val="0D245DDA"/>
    <w:rsid w:val="0D5A2B6F"/>
    <w:rsid w:val="0DA41AC3"/>
    <w:rsid w:val="0DD36263"/>
    <w:rsid w:val="0DEF7FA9"/>
    <w:rsid w:val="0E2369E2"/>
    <w:rsid w:val="0E4F3C38"/>
    <w:rsid w:val="0E8C4A31"/>
    <w:rsid w:val="0ED32A55"/>
    <w:rsid w:val="106F5D34"/>
    <w:rsid w:val="10F6332E"/>
    <w:rsid w:val="11A93B4C"/>
    <w:rsid w:val="11AB1094"/>
    <w:rsid w:val="1245638A"/>
    <w:rsid w:val="12B02CB8"/>
    <w:rsid w:val="136F5E3F"/>
    <w:rsid w:val="13F703EC"/>
    <w:rsid w:val="14B839C2"/>
    <w:rsid w:val="15B704C3"/>
    <w:rsid w:val="15DE48A9"/>
    <w:rsid w:val="16EB4173"/>
    <w:rsid w:val="17E03FB1"/>
    <w:rsid w:val="17F53B32"/>
    <w:rsid w:val="19204EFE"/>
    <w:rsid w:val="196565AA"/>
    <w:rsid w:val="19B00DD0"/>
    <w:rsid w:val="19F255A0"/>
    <w:rsid w:val="1AF45457"/>
    <w:rsid w:val="1B0F73F9"/>
    <w:rsid w:val="1B511483"/>
    <w:rsid w:val="1B657325"/>
    <w:rsid w:val="1B8076CB"/>
    <w:rsid w:val="1C1E05D7"/>
    <w:rsid w:val="1C27223D"/>
    <w:rsid w:val="1C691B6D"/>
    <w:rsid w:val="1C6E39C8"/>
    <w:rsid w:val="1D240668"/>
    <w:rsid w:val="1D832840"/>
    <w:rsid w:val="1DAC7938"/>
    <w:rsid w:val="1DE11275"/>
    <w:rsid w:val="1E2D1660"/>
    <w:rsid w:val="1E5E181A"/>
    <w:rsid w:val="1EE25A28"/>
    <w:rsid w:val="1F0933D8"/>
    <w:rsid w:val="1F272B52"/>
    <w:rsid w:val="1F7E4544"/>
    <w:rsid w:val="1FC252F1"/>
    <w:rsid w:val="1FC65261"/>
    <w:rsid w:val="1FCE6772"/>
    <w:rsid w:val="20112FE8"/>
    <w:rsid w:val="20C65584"/>
    <w:rsid w:val="20F64921"/>
    <w:rsid w:val="21B93937"/>
    <w:rsid w:val="21E62252"/>
    <w:rsid w:val="21F1422B"/>
    <w:rsid w:val="21F74AB7"/>
    <w:rsid w:val="227B6E3E"/>
    <w:rsid w:val="230E7CB2"/>
    <w:rsid w:val="2329027C"/>
    <w:rsid w:val="24134E54"/>
    <w:rsid w:val="245C11D3"/>
    <w:rsid w:val="24A51914"/>
    <w:rsid w:val="257A33DD"/>
    <w:rsid w:val="25E20F82"/>
    <w:rsid w:val="26FE1038"/>
    <w:rsid w:val="2714558B"/>
    <w:rsid w:val="27925D83"/>
    <w:rsid w:val="27B92ADA"/>
    <w:rsid w:val="280F1035"/>
    <w:rsid w:val="2882119E"/>
    <w:rsid w:val="28B8039C"/>
    <w:rsid w:val="297D63F3"/>
    <w:rsid w:val="299013F5"/>
    <w:rsid w:val="29C93231"/>
    <w:rsid w:val="2A186697"/>
    <w:rsid w:val="2A5665D5"/>
    <w:rsid w:val="2A971EC6"/>
    <w:rsid w:val="2B277B63"/>
    <w:rsid w:val="2BBD6588"/>
    <w:rsid w:val="2BE01FFA"/>
    <w:rsid w:val="2CA61F26"/>
    <w:rsid w:val="2E304F81"/>
    <w:rsid w:val="2ED56178"/>
    <w:rsid w:val="2F0D0E1E"/>
    <w:rsid w:val="2F4773FE"/>
    <w:rsid w:val="2FF8370B"/>
    <w:rsid w:val="309E506C"/>
    <w:rsid w:val="30E3697C"/>
    <w:rsid w:val="317E4255"/>
    <w:rsid w:val="3291620A"/>
    <w:rsid w:val="32F02F31"/>
    <w:rsid w:val="32F53F8C"/>
    <w:rsid w:val="32FE13C9"/>
    <w:rsid w:val="330B1B18"/>
    <w:rsid w:val="3317670F"/>
    <w:rsid w:val="33346FC6"/>
    <w:rsid w:val="33A4059C"/>
    <w:rsid w:val="33F3790B"/>
    <w:rsid w:val="341E07EE"/>
    <w:rsid w:val="341F706B"/>
    <w:rsid w:val="344B7192"/>
    <w:rsid w:val="34EC0D2A"/>
    <w:rsid w:val="35727C2D"/>
    <w:rsid w:val="35994521"/>
    <w:rsid w:val="36092412"/>
    <w:rsid w:val="365301F6"/>
    <w:rsid w:val="36851BE2"/>
    <w:rsid w:val="3685750D"/>
    <w:rsid w:val="3701395E"/>
    <w:rsid w:val="372A0649"/>
    <w:rsid w:val="37465FBC"/>
    <w:rsid w:val="379B619B"/>
    <w:rsid w:val="381C6D3F"/>
    <w:rsid w:val="388E305C"/>
    <w:rsid w:val="389948BB"/>
    <w:rsid w:val="39002456"/>
    <w:rsid w:val="3908584D"/>
    <w:rsid w:val="39437C11"/>
    <w:rsid w:val="39970D2E"/>
    <w:rsid w:val="39F9518D"/>
    <w:rsid w:val="3A045513"/>
    <w:rsid w:val="3A76100F"/>
    <w:rsid w:val="3A832F6A"/>
    <w:rsid w:val="3AB713FE"/>
    <w:rsid w:val="3B0C28D2"/>
    <w:rsid w:val="3BBF4BC5"/>
    <w:rsid w:val="3BC54918"/>
    <w:rsid w:val="3C2B7E58"/>
    <w:rsid w:val="3C3932FD"/>
    <w:rsid w:val="3C565234"/>
    <w:rsid w:val="3C6E51AE"/>
    <w:rsid w:val="3D0E01C3"/>
    <w:rsid w:val="3D7353D9"/>
    <w:rsid w:val="3DDE7B01"/>
    <w:rsid w:val="3E045AE2"/>
    <w:rsid w:val="3E5A1BA6"/>
    <w:rsid w:val="3E6B066C"/>
    <w:rsid w:val="3E890575"/>
    <w:rsid w:val="3EDC6A25"/>
    <w:rsid w:val="402C344E"/>
    <w:rsid w:val="403857A8"/>
    <w:rsid w:val="41280288"/>
    <w:rsid w:val="41406E3E"/>
    <w:rsid w:val="41B458E7"/>
    <w:rsid w:val="42226A6C"/>
    <w:rsid w:val="424A6052"/>
    <w:rsid w:val="42980EEF"/>
    <w:rsid w:val="42C24566"/>
    <w:rsid w:val="43923F81"/>
    <w:rsid w:val="43A0701B"/>
    <w:rsid w:val="43CF576A"/>
    <w:rsid w:val="43D84AA5"/>
    <w:rsid w:val="457C1814"/>
    <w:rsid w:val="46F506BE"/>
    <w:rsid w:val="470637C8"/>
    <w:rsid w:val="471A4443"/>
    <w:rsid w:val="47221636"/>
    <w:rsid w:val="48237F61"/>
    <w:rsid w:val="495A6C96"/>
    <w:rsid w:val="4AC4205C"/>
    <w:rsid w:val="4BB46D99"/>
    <w:rsid w:val="4BD52F7B"/>
    <w:rsid w:val="4C077FF4"/>
    <w:rsid w:val="4C946F5B"/>
    <w:rsid w:val="4D4072AF"/>
    <w:rsid w:val="4E060604"/>
    <w:rsid w:val="4E3B0121"/>
    <w:rsid w:val="4E632BAB"/>
    <w:rsid w:val="4E963E7C"/>
    <w:rsid w:val="4EB91648"/>
    <w:rsid w:val="4F4D527C"/>
    <w:rsid w:val="4FDE6D59"/>
    <w:rsid w:val="50496A10"/>
    <w:rsid w:val="50B43398"/>
    <w:rsid w:val="51340035"/>
    <w:rsid w:val="513B71F4"/>
    <w:rsid w:val="517C3689"/>
    <w:rsid w:val="52203511"/>
    <w:rsid w:val="52867B06"/>
    <w:rsid w:val="534A7FE3"/>
    <w:rsid w:val="53851B21"/>
    <w:rsid w:val="53FA5EDD"/>
    <w:rsid w:val="546F6E06"/>
    <w:rsid w:val="558463FC"/>
    <w:rsid w:val="56AB35DB"/>
    <w:rsid w:val="56B57867"/>
    <w:rsid w:val="575E6EE0"/>
    <w:rsid w:val="5797131D"/>
    <w:rsid w:val="58442829"/>
    <w:rsid w:val="586960F4"/>
    <w:rsid w:val="58C358FF"/>
    <w:rsid w:val="58C67997"/>
    <w:rsid w:val="58FF53CC"/>
    <w:rsid w:val="59DF2DEB"/>
    <w:rsid w:val="59EC7A97"/>
    <w:rsid w:val="5AA42A95"/>
    <w:rsid w:val="5AC139F1"/>
    <w:rsid w:val="5AE51363"/>
    <w:rsid w:val="5AF54844"/>
    <w:rsid w:val="5C03539A"/>
    <w:rsid w:val="5D38538B"/>
    <w:rsid w:val="5D5B7668"/>
    <w:rsid w:val="5DCE1B1C"/>
    <w:rsid w:val="5E3D49CC"/>
    <w:rsid w:val="5E60152A"/>
    <w:rsid w:val="5E895E64"/>
    <w:rsid w:val="5E936FB3"/>
    <w:rsid w:val="5ECC0B16"/>
    <w:rsid w:val="5F5D7424"/>
    <w:rsid w:val="60064CF5"/>
    <w:rsid w:val="601E1EF1"/>
    <w:rsid w:val="608E7761"/>
    <w:rsid w:val="611E35D1"/>
    <w:rsid w:val="615A1B72"/>
    <w:rsid w:val="618233C6"/>
    <w:rsid w:val="62095389"/>
    <w:rsid w:val="620D0B5A"/>
    <w:rsid w:val="62207233"/>
    <w:rsid w:val="6252318D"/>
    <w:rsid w:val="629300A9"/>
    <w:rsid w:val="630A027A"/>
    <w:rsid w:val="636C7B02"/>
    <w:rsid w:val="6413675B"/>
    <w:rsid w:val="64744B28"/>
    <w:rsid w:val="64746921"/>
    <w:rsid w:val="64B57FA4"/>
    <w:rsid w:val="64FF204F"/>
    <w:rsid w:val="65734E67"/>
    <w:rsid w:val="657832D2"/>
    <w:rsid w:val="660D2220"/>
    <w:rsid w:val="662636B1"/>
    <w:rsid w:val="663F18DB"/>
    <w:rsid w:val="669916B9"/>
    <w:rsid w:val="66DE3387"/>
    <w:rsid w:val="675148AC"/>
    <w:rsid w:val="67650AF0"/>
    <w:rsid w:val="676A4358"/>
    <w:rsid w:val="67C71862"/>
    <w:rsid w:val="68294213"/>
    <w:rsid w:val="68D10D6E"/>
    <w:rsid w:val="68DA17D8"/>
    <w:rsid w:val="691A2B02"/>
    <w:rsid w:val="6A162576"/>
    <w:rsid w:val="6A3A6048"/>
    <w:rsid w:val="6A3B1228"/>
    <w:rsid w:val="6A99742E"/>
    <w:rsid w:val="6A9B3239"/>
    <w:rsid w:val="6B286A04"/>
    <w:rsid w:val="6BE75F78"/>
    <w:rsid w:val="6C252EFA"/>
    <w:rsid w:val="6C5C5978"/>
    <w:rsid w:val="6CA8695E"/>
    <w:rsid w:val="6D9A126A"/>
    <w:rsid w:val="6DE9247B"/>
    <w:rsid w:val="6F9F664B"/>
    <w:rsid w:val="6FC4471C"/>
    <w:rsid w:val="704108C3"/>
    <w:rsid w:val="704C399F"/>
    <w:rsid w:val="70502EE9"/>
    <w:rsid w:val="7096103B"/>
    <w:rsid w:val="70A40FD2"/>
    <w:rsid w:val="71B3557E"/>
    <w:rsid w:val="71D21478"/>
    <w:rsid w:val="726377BC"/>
    <w:rsid w:val="729429A0"/>
    <w:rsid w:val="72C02C76"/>
    <w:rsid w:val="7315589F"/>
    <w:rsid w:val="732924AB"/>
    <w:rsid w:val="739A136C"/>
    <w:rsid w:val="73AD3F4B"/>
    <w:rsid w:val="73E02438"/>
    <w:rsid w:val="73ED6640"/>
    <w:rsid w:val="74A73B89"/>
    <w:rsid w:val="74D277C3"/>
    <w:rsid w:val="7592695A"/>
    <w:rsid w:val="768952A5"/>
    <w:rsid w:val="76923435"/>
    <w:rsid w:val="77A0299D"/>
    <w:rsid w:val="77A16CB3"/>
    <w:rsid w:val="77A64463"/>
    <w:rsid w:val="78703173"/>
    <w:rsid w:val="79885061"/>
    <w:rsid w:val="79B002F1"/>
    <w:rsid w:val="7A1E40AE"/>
    <w:rsid w:val="7A716722"/>
    <w:rsid w:val="7B25086A"/>
    <w:rsid w:val="7BB52709"/>
    <w:rsid w:val="7D115F4B"/>
    <w:rsid w:val="7D1346B4"/>
    <w:rsid w:val="7E42680F"/>
    <w:rsid w:val="7EBE7139"/>
    <w:rsid w:val="7EEA1BAF"/>
    <w:rsid w:val="7F03101E"/>
    <w:rsid w:val="7FA71813"/>
    <w:rsid w:val="7FC23A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4">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paragraph" w:styleId="5">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paragraph" w:styleId="6">
    <w:name w:val="heading 5"/>
    <w:basedOn w:val="1"/>
    <w:next w:val="1"/>
    <w:semiHidden/>
    <w:unhideWhenUsed/>
    <w:qFormat/>
    <w:uiPriority w:val="0"/>
    <w:pPr>
      <w:spacing w:before="0" w:beforeAutospacing="1" w:after="0" w:afterAutospacing="1"/>
      <w:jc w:val="left"/>
    </w:pPr>
    <w:rPr>
      <w:rFonts w:hint="eastAsia" w:ascii="宋体" w:hAnsi="宋体" w:eastAsia="宋体" w:cs="宋体"/>
      <w:b/>
      <w:bCs/>
      <w:kern w:val="0"/>
      <w:sz w:val="20"/>
      <w:szCs w:val="20"/>
      <w:lang w:val="en-US" w:eastAsia="zh-CN" w:bidi="ar"/>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0">
    <w:name w:val="Strong"/>
    <w:basedOn w:val="9"/>
    <w:qFormat/>
    <w:uiPriority w:val="0"/>
    <w:rPr>
      <w:b/>
    </w:rPr>
  </w:style>
  <w:style w:type="character" w:styleId="11">
    <w:name w:val="Emphasis"/>
    <w:basedOn w:val="9"/>
    <w:qFormat/>
    <w:uiPriority w:val="0"/>
    <w:rPr>
      <w:i/>
    </w:rPr>
  </w:style>
  <w:style w:type="character" w:styleId="12">
    <w:name w:val="Hyperlink"/>
    <w:basedOn w:val="9"/>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731</Words>
  <Characters>800</Characters>
  <Lines>0</Lines>
  <Paragraphs>0</Paragraphs>
  <TotalTime>2</TotalTime>
  <ScaleCrop>false</ScaleCrop>
  <LinksUpToDate>false</LinksUpToDate>
  <CharactersWithSpaces>803</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2025-12-16T01:27:00Z</dcterms:created>
  <dc:creator>Mt</dc:creator>
  <cp:lastModifiedBy>WPS_1646873444</cp:lastModifiedBy>
  <dcterms:modified xsi:type="dcterms:W3CDTF">2026-03-20T06:45:44Z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KSOTemplateDocerSaveRecord">
    <vt:lpwstr>eyJoZGlkIjoiYjA5ZmJiMTJkMzI5ZGI2NmMzYTkyYWEzODg2ZmUwZmMiLCJ1c2VySWQiOiIxMzQyNTAwNTc0In0=</vt:lpwstr>
  </property>
  <property fmtid="{D5CDD505-2E9C-101B-9397-08002B2CF9AE}" pid="4" name="ICV">
    <vt:lpwstr>7EFC36832D454735A59E5E7FC0307018_12</vt:lpwstr>
  </property>
</Properties>
</file>